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0C" w:rsidRPr="0084190C" w:rsidRDefault="0084190C" w:rsidP="0084190C">
      <w:pPr>
        <w:spacing w:before="150" w:after="300" w:line="240" w:lineRule="auto"/>
        <w:jc w:val="both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</w:pPr>
      <w:r w:rsidRPr="0084190C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BİTİRME ÖDEVİ YAZIM KILAVUZU</w:t>
      </w:r>
    </w:p>
    <w:p w:rsidR="0084190C" w:rsidRPr="0084190C" w:rsidRDefault="0084190C" w:rsidP="0084190C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4190C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BİTİRME ÇALIŞMALARINDA %25 BENZERLİK ORANI DİKKATE ALINACAKTIR.</w:t>
      </w:r>
    </w:p>
    <w:p w:rsidR="0084190C" w:rsidRPr="0084190C" w:rsidRDefault="0084190C" w:rsidP="0084190C">
      <w:pPr>
        <w:spacing w:after="30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Ödevler aşağıdaki kurallar dâhilinde yazılacaktır.</w:t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1- Herhangi bir Word programında</w:t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2- Times New Roman karakterinde</w:t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3- 1,5 satır </w:t>
      </w:r>
      <w:proofErr w:type="gramStart"/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aralıklı</w:t>
      </w:r>
      <w:proofErr w:type="gramEnd"/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4- Sağ ve soldan otomatik düzenlenerek, kenarlıklar sol taraf 4 cm diğer kenarlar 3 cm olacak şekilde düzenlenecektir</w:t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5- Sayfa </w:t>
      </w:r>
      <w:proofErr w:type="spellStart"/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nolu</w:t>
      </w:r>
      <w:proofErr w:type="spellEnd"/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olarak</w:t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6- Ödevlerin</w:t>
      </w:r>
      <w:r w:rsidR="004200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boyutu makale formatında</w:t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yazılan konunu</w:t>
      </w:r>
      <w:r w:rsidR="004200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özelliğine göre 15-20 sayfa arası olmalıdır (k</w:t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aynakça, kapak ve ekler hariç)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7- Metin için 12 punto, dipnotlar için 10 punto kullanılacaktır</w:t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8- Paragraflar arasında bir satır boşluk bırakılacaktır ve pa</w:t>
      </w:r>
      <w:r w:rsidR="004200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ragraf girintisi olmayacaktır.</w:t>
      </w:r>
      <w:r w:rsidR="004200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4200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</w:t>
      </w:r>
      <w:bookmarkStart w:id="0" w:name="_GoBack"/>
      <w:bookmarkEnd w:id="0"/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Kaynakça ve dipnotlar, kaynakça ve dipnot yazım kurallarına göre </w:t>
      </w:r>
      <w:r w:rsidR="004200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(aşağıda) </w:t>
      </w:r>
      <w:r w:rsidRPr="008419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yapılacaktır. Dipnotlarda satır aralığı 1 olacaktır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84190C" w:rsidRPr="0084190C" w:rsidRDefault="0084190C" w:rsidP="0084190C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4190C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</w:t>
      </w:r>
    </w:p>
    <w:p w:rsidR="0084190C" w:rsidRPr="0084190C" w:rsidRDefault="0084190C" w:rsidP="0084190C">
      <w:pPr>
        <w:spacing w:after="0" w:line="435" w:lineRule="atLeast"/>
        <w:jc w:val="both"/>
        <w:outlineLvl w:val="2"/>
        <w:rPr>
          <w:rFonts w:ascii="Roboto" w:eastAsia="Times New Roman" w:hAnsi="Roboto" w:cs="Times New Roman"/>
          <w:color w:val="1F1F1F"/>
          <w:spacing w:val="15"/>
          <w:sz w:val="27"/>
          <w:szCs w:val="27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1F1F1F"/>
          <w:spacing w:val="15"/>
          <w:sz w:val="27"/>
          <w:szCs w:val="27"/>
          <w:lang w:eastAsia="tr-TR"/>
        </w:rPr>
        <w:t>DİPNOT YAZIM KILAVUZU</w:t>
      </w:r>
    </w:p>
    <w:p w:rsidR="0084190C" w:rsidRPr="0084190C" w:rsidRDefault="0084190C" w:rsidP="0084190C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4190C">
        <w:rPr>
          <w:rFonts w:ascii="Georgia" w:eastAsia="Times New Roman" w:hAnsi="Georgia" w:cs="Helvetica"/>
          <w:b/>
          <w:bCs/>
          <w:i/>
          <w:iCs/>
          <w:color w:val="696969"/>
          <w:sz w:val="20"/>
          <w:szCs w:val="20"/>
          <w:lang w:eastAsia="tr-TR"/>
        </w:rPr>
        <w:t>Örnekler...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Tek yazarlı kitap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Çağrı Erhan, </w:t>
      </w:r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Türk-Amerikan İlişkilerinin Tarihsel Kökenleri, </w:t>
      </w: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Ankara, İmge Kitabevi, 2001, s. 55.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Tek yazarlı makale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Rebecca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Davies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 “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African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Diasporas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, Development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and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the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Politics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of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Context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”, </w:t>
      </w:r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 xml:space="preserve">Third World </w:t>
      </w:r>
      <w:proofErr w:type="spellStart"/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Quarterly</w:t>
      </w:r>
      <w:proofErr w:type="spellEnd"/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, </w:t>
      </w: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Cilt 33, No 1, 2012, s. 91-108.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İki yazarlı kitap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Gülten Kazgan ve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Natalya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Ulçenko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 </w:t>
      </w:r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Dünden Bugüne Türkiye ve Rusya</w:t>
      </w: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 İstanbul, Bilgi, 2003, s. 32.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İki yazarlı makale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Thomas G.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Mahnken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ve James R.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FitzSimonds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 “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Revolutionary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Ambivalance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: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Understanding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Officer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Attitudes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Toward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Transformation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”, </w:t>
      </w:r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International Security</w:t>
      </w: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 Cilt 28, No 2, 2003, s. 122-135.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İkiden fazla yazarlı kitap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Mehmet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Gönlübol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et al</w:t>
      </w:r>
      <w:proofErr w:type="gram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.,</w:t>
      </w:r>
      <w:proofErr w:type="gram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 </w:t>
      </w:r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Olaylarla Türk Dış Politikası, 1919-1995</w:t>
      </w: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 Ankara, Siyasal Kitabevi, 1996, s. 129.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lastRenderedPageBreak/>
        <w:t>İkiden fazla yazarlı makale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David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Dranove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et al</w:t>
      </w:r>
      <w:proofErr w:type="gram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.,</w:t>
      </w:r>
      <w:proofErr w:type="gram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“Is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More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Information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Better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?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The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Effects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of ‘Report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Cards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’ on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Health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Care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Providers”, </w:t>
      </w:r>
      <w:proofErr w:type="spellStart"/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Journal</w:t>
      </w:r>
      <w:proofErr w:type="spellEnd"/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 xml:space="preserve"> of </w:t>
      </w:r>
      <w:proofErr w:type="spellStart"/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Political</w:t>
      </w:r>
      <w:proofErr w:type="spellEnd"/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Economy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 Cilt 11, No 3, 2003, s. 25.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Kitapta makale 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Joseph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Turow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, “A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Mass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Communication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Perspective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on Entertainment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Industries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”, James Curan ve Michael </w:t>
      </w: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Gurevitch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(der.), </w:t>
      </w:r>
      <w:proofErr w:type="spellStart"/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Mass</w:t>
      </w:r>
      <w:proofErr w:type="spellEnd"/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 xml:space="preserve"> Media </w:t>
      </w:r>
      <w:proofErr w:type="spellStart"/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and</w:t>
      </w:r>
      <w:proofErr w:type="spellEnd"/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 xml:space="preserve"> </w:t>
      </w:r>
      <w:proofErr w:type="spellStart"/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Society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 Londra, Edward Arnold, 1991, s. 160-167.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Çeviri kitap/makale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Meltem Müftüler Baç, </w:t>
      </w:r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Türkiye ve AB: Soğuk Savaş Sonrası İlişkiler</w:t>
      </w: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 çev. Simten Coşar, İstanbul, Alfa, 2001, s. 41.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Gazete yazısı 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Hasan Cemal, “Fiyasko ve Çıkış Yolu”, </w:t>
      </w:r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Milliyet</w:t>
      </w: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 18 Aralık 2003, s. 7.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Yazarı belli olmayan gazete yazıları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“Başbakan Washington Yolcusu”, </w:t>
      </w:r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Cumhuriyet</w:t>
      </w: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 22 Aralık 2003, s. 8.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Yazarı belli olmayan resmi ya da özel yayınlar, raporlar vb. 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Enerji Teknolojileri Politikası Çalışma Grubu Raporu</w:t>
      </w: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 Ankara, TÜBİTAK, Mayıs 1998, s. 35.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Arşiv belgeleri 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Başbakanlık Cumhuriyet Arşivi</w:t>
      </w: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, Başbakanlık Hususi Kalem, 33218, 10 Aralık 1943.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Yüksek Lisans/Doktora tezleri 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Mustafa Pulat, </w:t>
      </w:r>
      <w:r w:rsidRPr="0084190C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tr-TR"/>
        </w:rPr>
        <w:t>Avrupa Güvenlik ve Savunma Politikası: Türkiye'nin Avrupa Savunmasındaki Geleceği, </w:t>
      </w: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Yayınlanmamış Yüksek Lisans Tezi, Ankara, Gazi Üniversitesi, Sosyal Bilimler Enstitüsü, 2002, s. 10.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Internet’ten alınan kaynaklar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Beril Dedeoğlu, “Değişen Dünyada Değişen Türkiye”, 10 Ekim 2009, http://www.sde.org.tr/tr/haberler/328/degisen-dunyada-degisen-turkiye.aspx (Erişim Tarihi 28 Ocak 2017).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r w:rsidRPr="0084190C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tr-TR"/>
        </w:rPr>
        <w:t>Kişisel görüşme</w:t>
      </w:r>
    </w:p>
    <w:p w:rsidR="0084190C" w:rsidRPr="0084190C" w:rsidRDefault="0084190C" w:rsidP="0084190C">
      <w:pPr>
        <w:spacing w:after="150" w:line="240" w:lineRule="auto"/>
        <w:jc w:val="both"/>
        <w:rPr>
          <w:rFonts w:ascii="Roboto" w:eastAsia="Times New Roman" w:hAnsi="Roboto" w:cs="Times New Roman"/>
          <w:color w:val="888888"/>
          <w:spacing w:val="8"/>
          <w:sz w:val="21"/>
          <w:szCs w:val="21"/>
          <w:lang w:eastAsia="tr-TR"/>
        </w:rPr>
      </w:pPr>
      <w:proofErr w:type="spellStart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>İlber</w:t>
      </w:r>
      <w:proofErr w:type="spellEnd"/>
      <w:r w:rsidRPr="0084190C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tr-TR"/>
        </w:rPr>
        <w:t xml:space="preserve"> Ortaylı, İstanbul, 10 Ekim 2017, kişisel görüşme.</w:t>
      </w:r>
    </w:p>
    <w:p w:rsidR="00896DFB" w:rsidRDefault="00896DFB"/>
    <w:sectPr w:rsidR="0089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0C"/>
    <w:rsid w:val="00420092"/>
    <w:rsid w:val="0084190C"/>
    <w:rsid w:val="008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4986B"/>
  <w15:chartTrackingRefBased/>
  <w15:docId w15:val="{D30DC77B-ABF2-4F25-B7FD-F210304F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41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4190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4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190C"/>
    <w:rPr>
      <w:b/>
      <w:bCs/>
    </w:rPr>
  </w:style>
  <w:style w:type="character" w:styleId="Vurgu">
    <w:name w:val="Emphasis"/>
    <w:basedOn w:val="VarsaylanParagrafYazTipi"/>
    <w:uiPriority w:val="20"/>
    <w:qFormat/>
    <w:rsid w:val="00841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2571</Characters>
  <Application>Microsoft Office Word</Application>
  <DocSecurity>0</DocSecurity>
  <Lines>21</Lines>
  <Paragraphs>6</Paragraphs>
  <ScaleCrop>false</ScaleCrop>
  <Company>SAKARYA UNIVERSITESI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Cahit SAU</dc:creator>
  <cp:keywords/>
  <dc:description/>
  <cp:lastModifiedBy>Cahit SAU</cp:lastModifiedBy>
  <cp:revision>3</cp:revision>
  <dcterms:created xsi:type="dcterms:W3CDTF">2021-12-28T13:49:00Z</dcterms:created>
  <dcterms:modified xsi:type="dcterms:W3CDTF">2023-01-03T13:19:00Z</dcterms:modified>
</cp:coreProperties>
</file>